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:rsidP="0C9FF868" w14:paraId="42A284B6" wp14:textId="28F1FBAE">
      <w:pPr>
        <w:pStyle w:val="Heading2"/>
      </w:pP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Пожарный автомобиль-база газодымозащитной службы АБГ-3 на базе КАМАЗ 4308</w:t>
      </w:r>
    </w:p>
    <w:p xmlns:wp14="http://schemas.microsoft.com/office/word/2010/wordml" w14:paraId="41B2A94F" wp14:textId="1C91EA2E"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Автомобиль-база газодымозащитной службы АБГ предназначен для доставки к месту пожара (аварии) </w:t>
      </w:r>
      <w:hyperlink r:id="R311ea66f0a8e438a">
        <w:r w:rsidRPr="0C9FF868" w:rsidR="0C9FF868">
          <w:rPr>
            <w:rStyle w:val="Hyperlink"/>
            <w:rFonts w:ascii="Calibri" w:hAnsi="Calibri" w:eastAsia="Calibri" w:cs="Calibri"/>
            <w:noProof w:val="0"/>
            <w:sz w:val="22"/>
            <w:szCs w:val="22"/>
            <w:lang w:val="ru-RU"/>
          </w:rPr>
          <w:t>необходимого оборудования для зарядки</w:t>
        </w:r>
      </w:hyperlink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, проверки, ремонта и технического обслуживания дыхательных аппаратов со сжатым воздухом (ДАСВ), боевого расчёта АБГ, обеспечения на месте пожара (аварии) работы газодымозащитной службы (ГДЗС), освещения места пожара (аварии). АБГ используется как самостоятельная боевая единица.</w:t>
      </w:r>
    </w:p>
    <w:p xmlns:wp14="http://schemas.microsoft.com/office/word/2010/wordml" w14:paraId="768D0640" wp14:textId="3DA70509"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Компрессорная установка ПТС «Вектор»-S-500 Н предназначена для быстрого заполнения сжатым воздухом дыхательных аппаратов пожарных подразделений МЧС.</w:t>
      </w:r>
    </w:p>
    <w:p xmlns:wp14="http://schemas.microsoft.com/office/word/2010/wordml" w14:paraId="13B31C5E" wp14:textId="642F8994"/>
    <w:p xmlns:wp14="http://schemas.microsoft.com/office/word/2010/wordml" w14:paraId="74A8B6FA" wp14:textId="0FCCDA73"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Компрессорная установка, совместно с дополнительными системами, обеспечивает продолжительную стабильную работу и все функции по заполнению сжатым воздухом баллонов дыхательных аппаратов до максимального рабочего давления 29,4 Мпа методом перепуска из пневмоаккумуляторов. Эксплуатация компрессорной установки возможна в условиях закрытого отапливаемого (или охлаждаемого) и вентилируемого помещения, а также в полевых условиях при базировании на транспортном средстве.</w:t>
      </w:r>
    </w:p>
    <w:p xmlns:wp14="http://schemas.microsoft.com/office/word/2010/wordml" w:rsidP="0C9FF868" w14:paraId="354FA0D4" wp14:textId="2B009D3A">
      <w:pPr>
        <w:pStyle w:val="Heading2"/>
      </w:pP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Тактико-техническая характеристика</w:t>
      </w:r>
    </w:p>
    <w:p xmlns:wp14="http://schemas.microsoft.com/office/word/2010/wordml" w14:paraId="3AA65789" wp14:textId="6C0616B5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Колесная формула/ведущие колеса: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4*2/задние.</w:t>
      </w:r>
    </w:p>
    <w:p xmlns:wp14="http://schemas.microsoft.com/office/word/2010/wordml" w14:paraId="2149636F" wp14:textId="05E0216A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Расположение двигателя: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переднее, продольное.</w:t>
      </w:r>
    </w:p>
    <w:p xmlns:wp14="http://schemas.microsoft.com/office/word/2010/wordml" w14:paraId="1E8024C3" wp14:textId="482A2299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Исполнение </w:t>
      </w:r>
      <w:hyperlink r:id="R2def81108efe4fc2">
        <w:r w:rsidRPr="0C9FF868" w:rsidR="0C9FF868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ru-RU"/>
          </w:rPr>
          <w:t>загрузочного пространства</w:t>
        </w:r>
      </w:hyperlink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фургон, с перегородкой между пассажирским салоном и грузовым отсеком, с сиденьями для размещения.</w:t>
      </w:r>
    </w:p>
    <w:p xmlns:wp14="http://schemas.microsoft.com/office/word/2010/wordml" w14:paraId="2756F574" wp14:textId="740D2798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Кабина: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цельнометаллическая, двухдверная, двухместная откидывается вперед.</w:t>
      </w:r>
    </w:p>
    <w:p xmlns:wp14="http://schemas.microsoft.com/office/word/2010/wordml" w14:paraId="4CC7402F" wp14:textId="15E9CF9B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Габаритные размеры, мм: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длина - 7600; ширина - 2500; высота - 3300.</w:t>
      </w:r>
    </w:p>
    <w:p xmlns:wp14="http://schemas.microsoft.com/office/word/2010/wordml" w14:paraId="13F0AFF6" wp14:textId="6430BFA7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База, мм: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3500 или 4100 или 4700.</w:t>
      </w:r>
    </w:p>
    <w:p xmlns:wp14="http://schemas.microsoft.com/office/word/2010/wordml" w14:paraId="6424E5DE" wp14:textId="136AD08B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Колея передних/задних колес, мм: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2040/1907.</w:t>
      </w:r>
    </w:p>
    <w:p xmlns:wp14="http://schemas.microsoft.com/office/word/2010/wordml" w14:paraId="197D0526" wp14:textId="2FEEE415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Масса ТС в снаряженном состоянии, кг: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10900.</w:t>
      </w:r>
    </w:p>
    <w:p xmlns:wp14="http://schemas.microsoft.com/office/word/2010/wordml" w14:paraId="24177FE5" wp14:textId="6BAAD5B7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Полная масса ТС, кг: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11305.</w:t>
      </w:r>
    </w:p>
    <w:p xmlns:wp14="http://schemas.microsoft.com/office/word/2010/wordml" w14:paraId="1C7FB515" wp14:textId="09ED7910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Максимальная осевая масса, кг: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на переднюю ось - 3915; на заднюю ось - 7390.</w:t>
      </w:r>
    </w:p>
    <w:p xmlns:wp14="http://schemas.microsoft.com/office/word/2010/wordml" w14:paraId="03DECD0A" wp14:textId="21211E14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Двигатель(марка,тип):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Топливо. Cummins 4ISBe4185 или ISB45e4185 дизель четырехтактный.</w:t>
      </w:r>
    </w:p>
    <w:p xmlns:wp14="http://schemas.microsoft.com/office/word/2010/wordml" w14:paraId="42BBC9FF" wp14:textId="7D5C78B5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 xml:space="preserve">Количество и </w:t>
      </w:r>
      <w:hyperlink r:id="R4d8411a894174dce">
        <w:r w:rsidRPr="0C9FF868" w:rsidR="0C9FF868">
          <w:rPr>
            <w:rStyle w:val="Hyperlink"/>
            <w:rFonts w:ascii="Calibri" w:hAnsi="Calibri" w:eastAsia="Calibri" w:cs="Calibri"/>
            <w:b w:val="1"/>
            <w:bCs w:val="1"/>
            <w:noProof w:val="0"/>
            <w:sz w:val="22"/>
            <w:szCs w:val="22"/>
            <w:lang w:val="ru-RU"/>
          </w:rPr>
          <w:t>расположение цилиндров</w:t>
        </w:r>
      </w:hyperlink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четырехрядное.</w:t>
      </w:r>
    </w:p>
    <w:p xmlns:wp14="http://schemas.microsoft.com/office/word/2010/wordml" w14:paraId="6B52AC36" wp14:textId="637F019D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Рабочий объем цилиндров, см3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>: 4460.</w:t>
      </w:r>
    </w:p>
    <w:p xmlns:wp14="http://schemas.microsoft.com/office/word/2010/wordml" w14:paraId="5798836E" wp14:textId="0501B75A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Степень сжатия: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17,3</w:t>
      </w:r>
    </w:p>
    <w:p xmlns:wp14="http://schemas.microsoft.com/office/word/2010/wordml" w14:paraId="7B0C4935" wp14:textId="1F7D80BD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Максимальная мощность, кВт(мин-1):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130,0(2500)</w:t>
      </w:r>
    </w:p>
    <w:p xmlns:wp14="http://schemas.microsoft.com/office/word/2010/wordml" w14:paraId="501817AE" wp14:textId="5D448FA8">
      <w:r w:rsidRPr="0C9FF868" w:rsidR="0C9FF868">
        <w:rPr>
          <w:rFonts w:ascii="Calibri" w:hAnsi="Calibri" w:eastAsia="Calibri" w:cs="Calibri"/>
          <w:b w:val="1"/>
          <w:bCs w:val="1"/>
          <w:noProof w:val="0"/>
          <w:sz w:val="22"/>
          <w:szCs w:val="22"/>
          <w:lang w:val="ru-RU"/>
        </w:rPr>
        <w:t>Максимальный крутящий момент, Н*м(мин-1):</w:t>
      </w:r>
      <w:r w:rsidRPr="0C9FF868" w:rsidR="0C9FF868">
        <w:rPr>
          <w:rFonts w:ascii="Calibri" w:hAnsi="Calibri" w:eastAsia="Calibri" w:cs="Calibri"/>
          <w:noProof w:val="0"/>
          <w:sz w:val="22"/>
          <w:szCs w:val="22"/>
          <w:lang w:val="ru-RU"/>
        </w:rPr>
        <w:t xml:space="preserve"> 686(1400)</w:t>
      </w:r>
    </w:p>
    <w:sectPr>
      <w:pgSz w:w="11906" w:h="16838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63FB9A6C"/>
    <w:rsid w:val="0C9FF868"/>
    <w:rsid w:val="63FB9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FB9A6C"/>
  <w15:chartTrackingRefBased/>
  <w15:docId w15:val="{B1F5847A-2955-44B8-B283-EA9DBF55CBB5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xmlns:w14="http://schemas.microsoft.com/office/word/2010/wordml" xmlns:mc="http://schemas.openxmlformats.org/markup-compatibility/2006" xmlns:w="http://schemas.openxmlformats.org/wordprocessingml/2006/main" w:type="character" w:styleId="Heading2Char" w:customStyle="1" mc:Ignorable="w14">
    <w:name xmlns:w="http://schemas.openxmlformats.org/wordprocessingml/2006/main" w:val="Heading 2 Char"/>
    <w:basedOn xmlns:w="http://schemas.openxmlformats.org/wordprocessingml/2006/main" w:val="DefaultParagraphFont"/>
    <w:link xmlns:w="http://schemas.openxmlformats.org/wordprocessingml/2006/main" w:val="Heading2"/>
    <w:uiPriority xmlns:w="http://schemas.openxmlformats.org/wordprocessingml/2006/main" w:val="9"/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paragraph" w:styleId="Heading2" mc:Ignorable="w14">
    <w:name xmlns:w="http://schemas.openxmlformats.org/wordprocessingml/2006/main" w:val="heading 2"/>
    <w:basedOn xmlns:w="http://schemas.openxmlformats.org/wordprocessingml/2006/main" w:val="Normal"/>
    <w:next xmlns:w="http://schemas.openxmlformats.org/wordprocessingml/2006/main" w:val="Normal"/>
    <w:link xmlns:w="http://schemas.openxmlformats.org/wordprocessingml/2006/main" w:val="Heading2Char"/>
    <w:uiPriority xmlns:w="http://schemas.openxmlformats.org/wordprocessingml/2006/main" w:val="9"/>
    <w:unhideWhenUsed xmlns:w="http://schemas.openxmlformats.org/wordprocessingml/2006/main"/>
    <w:qFormat xmlns:w="http://schemas.openxmlformats.org/wordprocessingml/2006/main"/>
    <w:pPr xmlns:w="http://schemas.openxmlformats.org/wordprocessingml/2006/main">
      <w:keepNext xmlns:w="http://schemas.openxmlformats.org/wordprocessingml/2006/main"/>
      <w:keepLines xmlns:w="http://schemas.openxmlformats.org/wordprocessingml/2006/main"/>
      <w:spacing xmlns:w="http://schemas.openxmlformats.org/wordprocessingml/2006/main" w:before="40" w:after="0"/>
      <w:outlineLvl xmlns:w="http://schemas.openxmlformats.org/wordprocessingml/2006/main" w:val="1"/>
    </w:pPr>
    <w:rPr xmlns:w="http://schemas.openxmlformats.org/wordprocessingml/2006/main">
      <w:rFonts w:asciiTheme="majorHAnsi" w:hAnsiTheme="majorHAnsi" w:eastAsiaTheme="majorEastAsia" w:cstheme="majorBidi"/>
      <w:color w:val="2E74B5" w:themeColor="accent1" w:themeShade="BF"/>
      <w:sz w:val="26"/>
      <w:szCs w:val="26"/>
    </w:rPr>
  </w:style>
  <w:style xmlns:w14="http://schemas.microsoft.com/office/word/2010/wordml" xmlns:mc="http://schemas.openxmlformats.org/markup-compatibility/2006" xmlns:w="http://schemas.openxmlformats.org/wordprocessingml/2006/main" w:type="character" w:styleId="Hyperlink" mc:Ignorable="w14">
    <w:name xmlns:w="http://schemas.openxmlformats.org/wordprocessingml/2006/main" w:val="Hyperlink"/>
    <w:basedOn xmlns:w="http://schemas.openxmlformats.org/wordprocessingml/2006/main" w:val="DefaultParagraphFont"/>
    <w:uiPriority xmlns:w="http://schemas.openxmlformats.org/wordprocessingml/2006/main" w:val="99"/>
    <w:unhideWhenUsed xmlns:w="http://schemas.openxmlformats.org/wordprocessingml/2006/main"/>
    <w:rPr xmlns:w="http://schemas.openxmlformats.org/wordprocessingml/2006/main"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yperlink" Target="https://metodich.ru/naimenovanie-organizacii-mestoraspolojenie/index.html" TargetMode="External" Id="R311ea66f0a8e438a" /><Relationship Type="http://schemas.openxmlformats.org/officeDocument/2006/relationships/hyperlink" Target="https://metodich.ru/stoprocentnoe-prinyatie-prostranstva-uchitivayushego-bojestven/index.html" TargetMode="External" Id="R2def81108efe4fc2" /><Relationship Type="http://schemas.openxmlformats.org/officeDocument/2006/relationships/hyperlink" Target="https://metodich.ru/rasseyannij-skleroz/index.html" TargetMode="External" Id="R4d8411a894174dc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2023-03-27T14:52:31.4865797Z</dcterms:created>
  <dcterms:modified xsi:type="dcterms:W3CDTF">2023-03-27T14:53:18.8891530Z</dcterms:modified>
  <dc:creator>Виктория Никитина</dc:creator>
  <lastModifiedBy>Виктория Никитина</lastModifiedBy>
</coreProperties>
</file>